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tblCellMar>
          <w:left w:w="0" w:type="dxa"/>
          <w:right w:w="0" w:type="dxa"/>
        </w:tblCellMar>
        <w:tblLook w:val="04A0" w:firstRow="1" w:lastRow="0" w:firstColumn="1" w:lastColumn="0" w:noHBand="0" w:noVBand="1"/>
      </w:tblPr>
      <w:tblGrid>
        <w:gridCol w:w="8403"/>
        <w:gridCol w:w="50"/>
      </w:tblGrid>
      <w:tr w:rsidR="004C3022" w:rsidTr="004C3022">
        <w:trPr>
          <w:tblCellSpacing w:w="15" w:type="dxa"/>
        </w:trPr>
        <w:tc>
          <w:tcPr>
            <w:tcW w:w="5000" w:type="pct"/>
            <w:gridSpan w:val="2"/>
            <w:vAlign w:val="center"/>
            <w:hideMark/>
          </w:tcPr>
          <w:p w:rsidR="004C3022" w:rsidRDefault="004C3022">
            <w:pPr>
              <w:jc w:val="center"/>
              <w:rPr>
                <w:rFonts w:ascii="Arial" w:hAnsi="Arial" w:cs="Arial"/>
                <w:color w:val="000000"/>
                <w:sz w:val="20"/>
                <w:szCs w:val="20"/>
                <w:lang w:eastAsia="es-CR"/>
              </w:rPr>
            </w:pPr>
            <w:r>
              <w:rPr>
                <w:rFonts w:ascii="Arial" w:hAnsi="Arial" w:cs="Arial"/>
                <w:color w:val="000000"/>
                <w:sz w:val="27"/>
                <w:szCs w:val="27"/>
                <w:lang w:eastAsia="es-CR"/>
              </w:rPr>
              <w:t xml:space="preserve">Lineamientos Reglamentarios para la aplicación procedimental del artículo 169 de la Ley del Sistema Financiero Nacional para la Vivienda. </w:t>
            </w:r>
          </w:p>
        </w:tc>
      </w:tr>
      <w:tr w:rsidR="004C3022" w:rsidTr="004C3022">
        <w:trPr>
          <w:gridAfter w:val="1"/>
          <w:wAfter w:w="6" w:type="dxa"/>
          <w:tblCellSpacing w:w="15" w:type="dxa"/>
        </w:trPr>
        <w:tc>
          <w:tcPr>
            <w:tcW w:w="0" w:type="auto"/>
            <w:vAlign w:val="center"/>
            <w:hideMark/>
          </w:tcPr>
          <w:p w:rsidR="004C3022" w:rsidRDefault="004C3022" w:rsidP="004C3022">
            <w:pPr>
              <w:spacing w:before="100" w:beforeAutospacing="1" w:after="100" w:afterAutospacing="1"/>
              <w:jc w:val="center"/>
              <w:rPr>
                <w:rFonts w:ascii="Verdana!important" w:hAnsi="Verdana!important"/>
                <w:b/>
                <w:bCs/>
                <w:color w:val="000000"/>
                <w:sz w:val="20"/>
                <w:szCs w:val="20"/>
                <w:lang w:eastAsia="es-CR"/>
              </w:rPr>
            </w:pPr>
            <w:r>
              <w:rPr>
                <w:rFonts w:ascii="Verdana!important" w:hAnsi="Verdana!important"/>
                <w:b/>
                <w:bCs/>
                <w:color w:val="000000"/>
                <w:sz w:val="20"/>
                <w:szCs w:val="20"/>
                <w:lang w:eastAsia="es-CR"/>
              </w:rPr>
              <w:t>BANCO HIPOTECARIO DE LA VIVIENDA</w:t>
            </w:r>
          </w:p>
          <w:p w:rsidR="004C3022" w:rsidRDefault="004C3022" w:rsidP="004C3022">
            <w:pPr>
              <w:spacing w:before="100" w:beforeAutospacing="1" w:after="100" w:afterAutospacing="1"/>
              <w:jc w:val="both"/>
              <w:rPr>
                <w:rFonts w:ascii="Arial" w:hAnsi="Arial" w:cs="Arial"/>
                <w:color w:val="000000"/>
                <w:sz w:val="20"/>
                <w:szCs w:val="20"/>
                <w:lang w:eastAsia="es-CR"/>
              </w:rPr>
            </w:pPr>
            <w:r>
              <w:rPr>
                <w:rFonts w:ascii="Verdana!important" w:hAnsi="Verdana!important"/>
                <w:color w:val="000000"/>
                <w:sz w:val="20"/>
                <w:szCs w:val="20"/>
                <w:lang w:eastAsia="es-CR"/>
              </w:rPr>
              <w:t xml:space="preserve">La Junta Directiva del Banco Hipotecario de la Vivienda en su sesión 22-2003, artículo 5º, del 14 de mayo del presente año, tomó el acuerdo 4, que indica lo siguiente: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"Acuerdo 4º-</w:t>
            </w:r>
            <w:bookmarkStart w:id="0" w:name="_GoBack"/>
            <w:bookmarkEnd w:id="0"/>
          </w:p>
          <w:p w:rsidR="004C3022" w:rsidRDefault="004C3022" w:rsidP="004C3022">
            <w:pPr>
              <w:spacing w:before="100" w:beforeAutospacing="1" w:after="100" w:afterAutospacing="1"/>
              <w:jc w:val="both"/>
              <w:rPr>
                <w:rFonts w:ascii="Verdana!important" w:hAnsi="Verdana!important"/>
                <w:b/>
                <w:bCs/>
                <w:color w:val="000000"/>
                <w:sz w:val="20"/>
                <w:szCs w:val="20"/>
                <w:lang w:eastAsia="es-CR"/>
              </w:rPr>
            </w:pPr>
            <w:r>
              <w:rPr>
                <w:rFonts w:ascii="Verdana!important" w:hAnsi="Verdana!important"/>
                <w:b/>
                <w:bCs/>
                <w:color w:val="000000"/>
                <w:sz w:val="20"/>
                <w:szCs w:val="20"/>
                <w:lang w:eastAsia="es-CR"/>
              </w:rPr>
              <w:t>Considerando:</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1º-Que mediante la Ley Nº 8350 del 1º de abril del 2003, se ha modificado el artículo 169 de la Ley del Sistema Financiero Nacional para la Vivienda.</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2º-Que la reforma indicada introduce importantes prohibiciones y sanciones que deben aplicarse en el proceso de calificación, entrega y posterior fiscalización de los beneficios del Bono Familiar para la Vivienda.</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3º-Que el artículo de interés, establece que cuando se detecten ciertas anomalías y faltas en el procedimiento de entrega y disposición de los recursos del Bono Familiar para la Vivienda, debe seguirse un procedimiento administrativo que desemboque en un acto final mediante el cual se determine si se sanciona o no a un beneficiario del Bono Familiar para la Vivienda.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4º-Que con la finalidad de aclarar los procedimientos a seguir en aras de proteger los derechos de los beneficiarios y los fondos públicos, se hace necesario emitir las siguientes normas.</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5º-Que de conformidad con lo establecido en el artículo 65 de la Ley del Sistema Financiero Nacional para la Vivienda, corresponde a esta Junta Directiva la reglamentación del Fondo de Subsidios para la Vivienda. </w:t>
            </w:r>
            <w:r>
              <w:rPr>
                <w:rFonts w:ascii="Verdana!important" w:hAnsi="Verdana!important"/>
                <w:b/>
                <w:bCs/>
                <w:color w:val="000000"/>
                <w:sz w:val="20"/>
                <w:szCs w:val="20"/>
                <w:lang w:eastAsia="es-CR"/>
              </w:rPr>
              <w:t>Por tanto,</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SE ACUERDA:</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Aprobar y emitir los siguientes: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LINEAMIENTOS REGLAMENTARIOS PARA LA APLICACIÓN PROCEDIMENTAL DEL ARTÍCULO 169 DE LA LEY DEL SISTEMA FINANCIERO NACIONAL PARA LA VIVIENDA</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Artículo 1º-El Banco Hipotecario de la Vivienda (BANHVI) y las Entidades Autorizadas del Sistema Financiero Nacional para la Vivienda, procederán a investigar, de oficio o a solicitud de cualquier interesado y de acuerdo con los presentes lineamientos, las anomalías que sean detectadas o denunciadas, como posible contravención de las prohibiciones u obligaciones contenidas en el artículo 169 de la Ley del Sistema Financiero Nacional para la Vivienda.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Artículo 2º-El procedimiento que se utilizará para los efectos señalados en las presentes normas, será el siguiente:</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a) Cuando la denuncia fuere presentada ante una Entidad Autorizada, o bien cuando dicha Entidad detectare de oficio la posible irregularidad, procederá a levantar un informe o investigación preliminar, el cual deberá estar concluido a más tardar dentro del mes calendario siguiente a la fecha en que la posible irregularidad fuere detectada o denunciada. Concluido dicho informe deberá ser remitido a la Dirección del Fondo de Subsidios para la Vivienda del BANHVI para los efectos indicados más </w:t>
            </w:r>
            <w:r>
              <w:rPr>
                <w:rFonts w:ascii="Verdana!important" w:hAnsi="Verdana!important"/>
                <w:color w:val="000000"/>
                <w:sz w:val="20"/>
                <w:szCs w:val="20"/>
                <w:lang w:eastAsia="es-CR"/>
              </w:rPr>
              <w:lastRenderedPageBreak/>
              <w:t xml:space="preserve">adelante.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b) Cuando la denuncia fuere presentada ante el BANHVI, o bien cuando dicha Entidad detectare de oficio la posible irregularidad, procederá -mediante su Dirección del Fondo de Subsidios para la Vivienda- a solicitar un informe preliminar a la Entidad Autorizada, para lo cual se le otorgará un plazo que oscilará entre quince y treinta días naturales.</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c) Al iniciarse la investigación de una posible anomalía, el BANHVI o la Entidad autorizada documentarán el caso en la mejor forma posible, entrevistarán a los beneficiarios que puedan resultar afectados, y realizarán una inspección del inmueble con el propósito de aclarar la situación y de que posteriormente se determine si existe o no mérito para una investigación.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d) Es entendido que una vez que la Dirección del Fondo de Subsidios para la Vivienda reciba un informe preliminar de una investigación, estará en la obligación de complementar o aclarar todos los aspectos que fueren necesarios con el propósito de buscar la verdad real de los hechos.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Artículo 3º-Documentada preliminarmente la investigación se procederá de la siguiente forma: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a) Dentro de los cinco días hábiles posteriores a su conclusión, la Dirección del Fondo de Subsidios para la Vivienda del BANHVI procederá a determinar si existe o no mérito suficiente para iniciar un procedimiento administrativo sancionatorio. En caso de que encontrare razones suficientes, dentro de ese mismo plazo elevará el expediente a conocimiento de la Junta Directiva del BANHVI, solicitando la apertura del procedimiento administrativo y el nombramiento del respectivo Órgano Director.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b) En los casos en que la Dirección del Fondo de Subsidios para la Vivienda considere que no existe mérito suficiente para llevar a cabo un procedimiento administrativo, lo informará así a la Gerencia General del BANHVI, dentro de los cinco días hábiles indicados en el punto anterior, solicitando su aprobación para el archivo del asunto. La Gerencia General del BANHVI resolverá lo que corresponda en forma motivada, dentro de los cinco días hábiles siguientes después de recibido el expediente con la investigación preliminar.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c) Es entendido que cuando existiere mérito suficiente por la aparición de hechos o documentos nuevos, un caso archivado podrá ser reactivado para su nueva investigación.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Artículo 4º-En el estudio y análisis de los casos que sean objeto de investigación, se realizará y resolverá ésta de forma tal que se satisfaga primordialmente el interés público y el principio de protección de los fondos públicos.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 xml:space="preserve">Las competencias para el dictado de los actos previstos en las presentes normas no se extinguirán por el transcurso del plazo señalado para ejercerlas. </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Artículo 5º-En los casos en que se determinare que una falta o anomalía ha sido cometida por dolo o culpa grave de un funcionario de la entidad autorizada, ésta responderá solidariamente ante el BANHVI y para tales efectos el BANHVI determinará si el procedimiento administrativo para la recuperación de los fondos públicos se lleva a cabo contra el beneficiario y contra la Entidad Autorizada o sólo contra esta última.</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Artículo 6º-El acto de apertura del procedimiento administrativo, lo mismo que el acto final, serán dictados por la Junta Directiva del BANHVI. Contra este último acto sólo procede el recurso de reposición para el agotamiento de la vía administrativa.</w:t>
            </w:r>
          </w:p>
          <w:p w:rsidR="004C3022" w:rsidRDefault="004C3022" w:rsidP="004C3022">
            <w:pPr>
              <w:spacing w:before="100" w:beforeAutospacing="1" w:after="100" w:afterAutospacing="1"/>
              <w:jc w:val="both"/>
              <w:rPr>
                <w:rFonts w:ascii="Verdana!important" w:hAnsi="Verdana!important"/>
                <w:color w:val="000000"/>
                <w:sz w:val="20"/>
                <w:szCs w:val="20"/>
                <w:lang w:eastAsia="es-CR"/>
              </w:rPr>
            </w:pPr>
            <w:r>
              <w:rPr>
                <w:rFonts w:ascii="Verdana!important" w:hAnsi="Verdana!important"/>
                <w:color w:val="000000"/>
                <w:sz w:val="20"/>
                <w:szCs w:val="20"/>
                <w:lang w:eastAsia="es-CR"/>
              </w:rPr>
              <w:t>Artículo 7º—Rige a partir de su publicación en el Diario Oficial.</w:t>
            </w:r>
          </w:p>
        </w:tc>
      </w:tr>
    </w:tbl>
    <w:p w:rsidR="0084529E" w:rsidRDefault="0084529E"/>
    <w:sectPr w:rsidR="008452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importan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22"/>
    <w:rsid w:val="004C3022"/>
    <w:rsid w:val="0084529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22"/>
    <w:pPr>
      <w:spacing w:after="0" w:line="240" w:lineRule="auto"/>
    </w:pPr>
    <w:rPr>
      <w:rFonts w:ascii="Calibri" w:hAnsi="Calibri" w:cs="Times New Roman"/>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022"/>
    <w:pPr>
      <w:spacing w:after="0" w:line="240" w:lineRule="auto"/>
    </w:pPr>
    <w:rPr>
      <w:rFonts w:ascii="Calibri" w:hAnsi="Calibri" w:cs="Times New Roman"/>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1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5253</Characters>
  <Application>Microsoft Office Word</Application>
  <DocSecurity>0</DocSecurity>
  <Lines>43</Lines>
  <Paragraphs>12</Paragraphs>
  <ScaleCrop>false</ScaleCrop>
  <Company>Microsoft</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 Morales Ramírez</dc:creator>
  <cp:lastModifiedBy> Marianela Morales Ramírez</cp:lastModifiedBy>
  <cp:revision>1</cp:revision>
  <dcterms:created xsi:type="dcterms:W3CDTF">2017-11-09T18:11:00Z</dcterms:created>
  <dcterms:modified xsi:type="dcterms:W3CDTF">2017-11-09T18:11:00Z</dcterms:modified>
</cp:coreProperties>
</file>